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5DF78860E7444880B459DD047E3ADC82"/>
        </w:placeholder>
      </w:sdtPr>
      <w:sdtEndPr/>
      <w:sdtContent>
        <w:p w14:paraId="1DE0A041" w14:textId="77777777" w:rsidR="00AA6F4D" w:rsidRPr="00BB212B" w:rsidRDefault="00A17E5F" w:rsidP="0021114E">
          <w:pPr>
            <w:pStyle w:val="LGAItemNoHeading"/>
            <w:spacing w:before="240"/>
            <w:rPr>
              <w:rFonts w:ascii="Arial" w:hAnsi="Arial" w:cs="Arial"/>
              <w:sz w:val="28"/>
              <w:szCs w:val="28"/>
            </w:rPr>
          </w:pPr>
          <w:r>
            <w:rPr>
              <w:rFonts w:ascii="Arial" w:hAnsi="Arial" w:cs="Arial"/>
              <w:sz w:val="28"/>
              <w:szCs w:val="28"/>
            </w:rPr>
            <w:t xml:space="preserve">Westminster / Manchester / Geofutures gambling research project - overview and outcomes </w:t>
          </w:r>
        </w:p>
      </w:sdtContent>
    </w:sdt>
    <w:bookmarkEnd w:id="0" w:displacedByCustomXml="next"/>
    <w:sdt>
      <w:sdtPr>
        <w:rPr>
          <w:rFonts w:ascii="Arial" w:hAnsi="Arial" w:cs="Arial"/>
          <w:b/>
          <w:szCs w:val="22"/>
        </w:rPr>
        <w:id w:val="569620429"/>
        <w:lock w:val="sdtContentLocked"/>
        <w:placeholder>
          <w:docPart w:val="5DF78860E7444880B459DD047E3ADC82"/>
        </w:placeholder>
      </w:sdtPr>
      <w:sdtEndPr/>
      <w:sdtContent>
        <w:p w14:paraId="1DE0A04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1DE0A043"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5DF78860E7444880B459DD047E3ADC82"/>
        </w:placeholder>
      </w:sdtPr>
      <w:sdtEndPr/>
      <w:sdtContent>
        <w:sdt>
          <w:sdtPr>
            <w:rPr>
              <w:rFonts w:ascii="Arial" w:hAnsi="Arial" w:cs="Arial"/>
              <w:szCs w:val="22"/>
            </w:rPr>
            <w:id w:val="1177626331"/>
            <w:placeholder>
              <w:docPart w:val="9844B36FD88F44EBB29A00971B8DC04A"/>
            </w:placeholder>
            <w:dropDownList>
              <w:listItem w:displayText="For discussion and direction." w:value="For discussion and direction."/>
              <w:listItem w:displayText="For decision." w:value="For decision."/>
            </w:dropDownList>
          </w:sdtPr>
          <w:sdtEndPr/>
          <w:sdtContent>
            <w:p w14:paraId="1DE0A044" w14:textId="77777777" w:rsidR="001172B6" w:rsidRPr="0021114E" w:rsidRDefault="00A17E5F"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1DE0A045"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5DF78860E7444880B459DD047E3ADC82"/>
        </w:placeholder>
      </w:sdtPr>
      <w:sdtEndPr/>
      <w:sdtContent>
        <w:p w14:paraId="1DE0A046"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1DE0A047"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5DF78860E7444880B459DD047E3ADC82"/>
        </w:placeholder>
      </w:sdtPr>
      <w:sdtEndPr/>
      <w:sdtContent>
        <w:p w14:paraId="1DE0A048" w14:textId="77777777" w:rsidR="00C56860" w:rsidRPr="0021114E" w:rsidRDefault="00A17E5F" w:rsidP="00C56860">
          <w:pPr>
            <w:pStyle w:val="MainText"/>
            <w:spacing w:line="240" w:lineRule="auto"/>
            <w:rPr>
              <w:rFonts w:ascii="Arial" w:hAnsi="Arial" w:cs="Arial"/>
              <w:szCs w:val="22"/>
            </w:rPr>
          </w:pPr>
          <w:r>
            <w:rPr>
              <w:rFonts w:ascii="Arial" w:hAnsi="Arial" w:cs="Arial"/>
              <w:szCs w:val="22"/>
            </w:rPr>
            <w:t>Mark Thurstain-Goodwin of Geofutures will be attending the Board meeting to give an overview of the recent Westminster-Manchester-Geofutures research project into area vulnerability to gambling related harm.</w:t>
          </w:r>
        </w:p>
      </w:sdtContent>
    </w:sdt>
    <w:p w14:paraId="1DE0A049" w14:textId="77777777" w:rsidR="00C56860" w:rsidRPr="0021114E" w:rsidRDefault="00C56860" w:rsidP="0021114E">
      <w:pPr>
        <w:pStyle w:val="MainText"/>
        <w:spacing w:line="240" w:lineRule="auto"/>
        <w:rPr>
          <w:rFonts w:ascii="Arial" w:hAnsi="Arial" w:cs="Arial"/>
          <w:szCs w:val="22"/>
        </w:rPr>
      </w:pPr>
    </w:p>
    <w:p w14:paraId="1DE0A04A" w14:textId="77777777" w:rsidR="000A3935" w:rsidRPr="0021114E" w:rsidRDefault="000A3935" w:rsidP="0021114E">
      <w:pPr>
        <w:pStyle w:val="MainText"/>
        <w:spacing w:line="240" w:lineRule="auto"/>
        <w:rPr>
          <w:rFonts w:ascii="Arial" w:hAnsi="Arial" w:cs="Arial"/>
          <w:szCs w:val="22"/>
        </w:rPr>
      </w:pPr>
    </w:p>
    <w:p w14:paraId="1DE0A04B"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DE0A055" w14:textId="77777777">
        <w:tc>
          <w:tcPr>
            <w:tcW w:w="9157" w:type="dxa"/>
          </w:tcPr>
          <w:p w14:paraId="1DE0A04C" w14:textId="77777777"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9844B36FD88F44EBB29A00971B8DC04A"/>
              </w:placeholder>
              <w:dropDownList>
                <w:listItem w:displayText="Recommendation" w:value="Recommendation"/>
                <w:listItem w:displayText="Recommendations" w:value="Recommendations"/>
              </w:dropDownList>
            </w:sdtPr>
            <w:sdtEndPr/>
            <w:sdtContent>
              <w:p w14:paraId="1DE0A04D"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sdtContent>
          </w:sdt>
          <w:p w14:paraId="1DE0A04E"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5DF78860E7444880B459DD047E3ADC82"/>
              </w:placeholder>
            </w:sdtPr>
            <w:sdtEndPr/>
            <w:sdtContent>
              <w:p w14:paraId="1DE0A04F" w14:textId="4EA8E5FF" w:rsidR="009C799F" w:rsidRPr="0021114E" w:rsidRDefault="00E27D9C" w:rsidP="0021114E">
                <w:pPr>
                  <w:pStyle w:val="MainText"/>
                  <w:spacing w:line="240" w:lineRule="auto"/>
                  <w:rPr>
                    <w:rFonts w:ascii="Arial" w:hAnsi="Arial" w:cs="Arial"/>
                    <w:szCs w:val="22"/>
                  </w:rPr>
                </w:pPr>
                <w:r>
                  <w:rPr>
                    <w:rFonts w:ascii="Arial" w:hAnsi="Arial" w:cs="Arial"/>
                    <w:szCs w:val="22"/>
                  </w:rPr>
                  <w:t>That t</w:t>
                </w:r>
                <w:r w:rsidR="00A17E5F">
                  <w:rPr>
                    <w:rFonts w:ascii="Arial" w:hAnsi="Arial" w:cs="Arial"/>
                    <w:szCs w:val="22"/>
                  </w:rPr>
                  <w:t>he Board consider the potential benefits of the tools developed by Geofutures for Westminster and Manchester, and how these might be applied more widely.</w:t>
                </w:r>
              </w:p>
            </w:sdtContent>
          </w:sdt>
          <w:p w14:paraId="1DE0A050"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9844B36FD88F44EBB29A00971B8DC04A"/>
              </w:placeholder>
              <w:dropDownList>
                <w:listItem w:displayText="Action" w:value="Action"/>
                <w:listItem w:displayText="Actions" w:value="Actions"/>
              </w:dropDownList>
            </w:sdtPr>
            <w:sdtEndPr/>
            <w:sdtContent>
              <w:p w14:paraId="1DE0A051"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1DE0A052"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5DF78860E7444880B459DD047E3ADC82"/>
              </w:placeholder>
            </w:sdtPr>
            <w:sdtEndPr/>
            <w:sdtContent>
              <w:p w14:paraId="1DE0A053" w14:textId="77777777" w:rsidR="00A601EC" w:rsidRPr="0021114E" w:rsidRDefault="00A17E5F" w:rsidP="0021114E">
                <w:pPr>
                  <w:pStyle w:val="MainText"/>
                  <w:spacing w:line="240" w:lineRule="auto"/>
                  <w:rPr>
                    <w:rFonts w:ascii="Arial" w:hAnsi="Arial" w:cs="Arial"/>
                    <w:szCs w:val="22"/>
                  </w:rPr>
                </w:pPr>
                <w:r>
                  <w:rPr>
                    <w:rFonts w:ascii="Arial" w:hAnsi="Arial" w:cs="Arial"/>
                    <w:szCs w:val="22"/>
                  </w:rPr>
                  <w:t>Officers to progress as directed</w:t>
                </w:r>
                <w:r w:rsidR="00374E7E">
                  <w:rPr>
                    <w:rFonts w:ascii="Arial" w:hAnsi="Arial" w:cs="Arial"/>
                    <w:szCs w:val="22"/>
                  </w:rPr>
                  <w:t>.</w:t>
                </w:r>
              </w:p>
            </w:sdtContent>
          </w:sdt>
          <w:p w14:paraId="1DE0A054" w14:textId="77777777" w:rsidR="000A3935" w:rsidRPr="0021114E" w:rsidRDefault="000A3935" w:rsidP="0021114E">
            <w:pPr>
              <w:pStyle w:val="MainText"/>
              <w:spacing w:line="240" w:lineRule="auto"/>
              <w:rPr>
                <w:rFonts w:ascii="Arial" w:hAnsi="Arial" w:cs="Arial"/>
                <w:b/>
                <w:szCs w:val="22"/>
              </w:rPr>
            </w:pPr>
          </w:p>
        </w:tc>
      </w:tr>
    </w:tbl>
    <w:p w14:paraId="1DE0A056" w14:textId="77777777" w:rsidR="00AA6F4D" w:rsidRPr="0021114E" w:rsidRDefault="00AA6F4D" w:rsidP="0021114E">
      <w:pPr>
        <w:pStyle w:val="MainText"/>
        <w:spacing w:line="240" w:lineRule="auto"/>
        <w:rPr>
          <w:rFonts w:ascii="Arial" w:hAnsi="Arial" w:cs="Arial"/>
          <w:szCs w:val="22"/>
        </w:rPr>
      </w:pPr>
    </w:p>
    <w:p w14:paraId="1DE0A057" w14:textId="77777777" w:rsidR="000D2BDB" w:rsidRPr="0021114E" w:rsidRDefault="000D2BDB" w:rsidP="0021114E">
      <w:pPr>
        <w:pStyle w:val="MainText"/>
        <w:spacing w:line="240" w:lineRule="auto"/>
        <w:rPr>
          <w:rFonts w:ascii="Arial" w:hAnsi="Arial" w:cs="Arial"/>
          <w:szCs w:val="22"/>
        </w:rPr>
      </w:pPr>
    </w:p>
    <w:p w14:paraId="1DE0A058"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5DF78860E7444880B459DD047E3ADC82"/>
        </w:placeholder>
      </w:sdtPr>
      <w:sdtEndPr/>
      <w:sdtContent>
        <w:p w14:paraId="1DE0A059"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1305D9F85DAB4D28B020068D7A5E0957"/>
              </w:placeholder>
            </w:sdtPr>
            <w:sdtEndPr/>
            <w:sdtContent>
              <w:r w:rsidR="00A17E5F">
                <w:rPr>
                  <w:rFonts w:ascii="Arial" w:hAnsi="Arial" w:cs="Arial"/>
                  <w:szCs w:val="22"/>
                </w:rPr>
                <w:t>Ellie Greenwood</w:t>
              </w:r>
              <w:r w:rsidR="00A17E5F">
                <w:rPr>
                  <w:rFonts w:ascii="Arial" w:hAnsi="Arial" w:cs="Arial"/>
                  <w:szCs w:val="22"/>
                </w:rPr>
                <w:tab/>
              </w:r>
            </w:sdtContent>
          </w:sdt>
        </w:p>
        <w:p w14:paraId="1DE0A05A"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5DF78860E7444880B459DD047E3ADC82"/>
              </w:placeholder>
            </w:sdtPr>
            <w:sdtEndPr/>
            <w:sdtContent>
              <w:r w:rsidR="00A17E5F">
                <w:rPr>
                  <w:rFonts w:ascii="Arial" w:hAnsi="Arial" w:cs="Arial"/>
                  <w:szCs w:val="22"/>
                </w:rPr>
                <w:t>Senior Adviser</w:t>
              </w:r>
            </w:sdtContent>
          </w:sdt>
        </w:p>
        <w:p w14:paraId="1DE0A05B"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5DF78860E7444880B459DD047E3ADC82"/>
              </w:placeholder>
            </w:sdtPr>
            <w:sdtEndPr/>
            <w:sdtContent>
              <w:r w:rsidR="00A17E5F">
                <w:rPr>
                  <w:rFonts w:ascii="Arial" w:hAnsi="Arial" w:cs="Arial"/>
                  <w:szCs w:val="22"/>
                </w:rPr>
                <w:t>020 7664 3219</w:t>
              </w:r>
            </w:sdtContent>
          </w:sdt>
        </w:p>
        <w:p w14:paraId="1DE0A05C"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b/>
                <w:szCs w:val="22"/>
              </w:rPr>
              <w:id w:val="1576094888"/>
              <w:placeholder>
                <w:docPart w:val="5DF78860E7444880B459DD047E3ADC82"/>
              </w:placeholder>
            </w:sdtPr>
            <w:sdtEndPr/>
            <w:sdtContent>
              <w:hyperlink r:id="rId11" w:history="1">
                <w:r w:rsidR="00374E7E" w:rsidRPr="00F14B96">
                  <w:rPr>
                    <w:rStyle w:val="Hyperlink"/>
                    <w:rFonts w:ascii="Arial" w:hAnsi="Arial" w:cs="Arial"/>
                    <w:szCs w:val="22"/>
                  </w:rPr>
                  <w:t>ellie.greenwood@local.gov.uk</w:t>
                </w:r>
              </w:hyperlink>
              <w:r w:rsidR="00374E7E">
                <w:rPr>
                  <w:rFonts w:ascii="Arial" w:hAnsi="Arial" w:cs="Arial"/>
                  <w:szCs w:val="22"/>
                </w:rPr>
                <w:t xml:space="preserve"> </w:t>
              </w:r>
            </w:sdtContent>
          </w:sdt>
        </w:p>
      </w:sdtContent>
    </w:sdt>
    <w:p w14:paraId="1DE0A05D" w14:textId="77777777" w:rsidR="009B32C4" w:rsidRDefault="009B32C4">
      <w:pPr>
        <w:rPr>
          <w:rFonts w:ascii="Arial" w:hAnsi="Arial" w:cs="Arial"/>
          <w:szCs w:val="22"/>
        </w:rPr>
      </w:pPr>
    </w:p>
    <w:p w14:paraId="1DE0A05E" w14:textId="77777777" w:rsidR="0021114E" w:rsidRDefault="0021114E">
      <w:pPr>
        <w:rPr>
          <w:rFonts w:ascii="Arial" w:hAnsi="Arial" w:cs="Arial"/>
          <w:szCs w:val="22"/>
        </w:rPr>
      </w:pPr>
      <w:r>
        <w:rPr>
          <w:rFonts w:ascii="Arial" w:hAnsi="Arial" w:cs="Arial"/>
          <w:szCs w:val="22"/>
        </w:rPr>
        <w:br w:type="page"/>
      </w:r>
    </w:p>
    <w:p w14:paraId="1DE0A05F"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1DE0A060" w14:textId="77777777" w:rsidR="00374E7E" w:rsidRPr="00BB212B" w:rsidRDefault="00953729" w:rsidP="0021114E">
      <w:pPr>
        <w:pStyle w:val="LGAItemNoHeading"/>
        <w:spacing w:before="240"/>
        <w:rPr>
          <w:rFonts w:ascii="Arial" w:hAnsi="Arial" w:cs="Arial"/>
          <w:sz w:val="28"/>
          <w:szCs w:val="28"/>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sdt>
        <w:sdtPr>
          <w:rPr>
            <w:rFonts w:ascii="Arial" w:hAnsi="Arial" w:cs="Arial"/>
            <w:sz w:val="28"/>
            <w:szCs w:val="28"/>
          </w:rPr>
          <w:id w:val="-1594468971"/>
          <w:lock w:val="sdtLocked"/>
          <w:placeholder>
            <w:docPart w:val="C72CD6610FD84CF4A3F8713694F483D1"/>
          </w:placeholder>
        </w:sdtPr>
        <w:sdtEndPr/>
        <w:sdtContent>
          <w:r w:rsidR="00374E7E">
            <w:rPr>
              <w:rFonts w:ascii="Arial" w:hAnsi="Arial" w:cs="Arial"/>
              <w:sz w:val="28"/>
              <w:szCs w:val="28"/>
            </w:rPr>
            <w:t xml:space="preserve">Westminster / Manchester / Geofutures gambling research project - overview and outcomes </w:t>
          </w:r>
        </w:sdtContent>
      </w:sdt>
    </w:p>
    <w:p w14:paraId="1DE0A061" w14:textId="77777777" w:rsidR="0021114E" w:rsidRPr="0021114E" w:rsidRDefault="00953729" w:rsidP="0021114E">
      <w:pPr>
        <w:pStyle w:val="MainText"/>
        <w:spacing w:line="240" w:lineRule="auto"/>
        <w:rPr>
          <w:rFonts w:ascii="Arial" w:hAnsi="Arial" w:cs="Arial"/>
          <w:b/>
          <w:color w:val="FF0000"/>
          <w:szCs w:val="22"/>
        </w:rPr>
      </w:pPr>
      <w:r>
        <w:rPr>
          <w:rFonts w:ascii="Arial" w:hAnsi="Arial" w:cs="Arial"/>
          <w:b/>
          <w:sz w:val="28"/>
          <w:szCs w:val="22"/>
        </w:rPr>
        <w:fldChar w:fldCharType="end"/>
      </w:r>
    </w:p>
    <w:sdt>
      <w:sdtPr>
        <w:rPr>
          <w:rFonts w:ascii="Arial" w:hAnsi="Arial" w:cs="Arial"/>
          <w:b/>
          <w:szCs w:val="22"/>
        </w:rPr>
        <w:id w:val="-638106985"/>
        <w:placeholder>
          <w:docPart w:val="5DF78860E7444880B459DD047E3ADC82"/>
        </w:placeholder>
      </w:sdtPr>
      <w:sdtEndPr>
        <w:rPr>
          <w:b w:val="0"/>
        </w:rPr>
      </w:sdtEndPr>
      <w:sdtContent>
        <w:sdt>
          <w:sdtPr>
            <w:rPr>
              <w:rFonts w:ascii="Arial" w:hAnsi="Arial" w:cs="Arial"/>
              <w:b/>
              <w:szCs w:val="22"/>
            </w:rPr>
            <w:id w:val="1991058473"/>
            <w:lock w:val="sdtContentLocked"/>
            <w:placeholder>
              <w:docPart w:val="5DF78860E7444880B459DD047E3ADC82"/>
            </w:placeholder>
          </w:sdtPr>
          <w:sdtEndPr/>
          <w:sdtContent>
            <w:p w14:paraId="1DE0A062"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1DE0A063" w14:textId="77777777" w:rsidR="008F3A81" w:rsidRPr="0021114E" w:rsidRDefault="008F3A81" w:rsidP="0021114E">
          <w:pPr>
            <w:pStyle w:val="MainText"/>
            <w:spacing w:line="240" w:lineRule="auto"/>
            <w:rPr>
              <w:rFonts w:ascii="Arial" w:hAnsi="Arial" w:cs="Arial"/>
              <w:szCs w:val="22"/>
            </w:rPr>
          </w:pPr>
        </w:p>
        <w:p w14:paraId="1DE0A064" w14:textId="77777777" w:rsidR="00353D30" w:rsidRDefault="001F795D" w:rsidP="00353D30">
          <w:pPr>
            <w:pStyle w:val="MainText"/>
            <w:numPr>
              <w:ilvl w:val="0"/>
              <w:numId w:val="24"/>
            </w:numPr>
            <w:spacing w:before="240" w:line="240" w:lineRule="auto"/>
            <w:rPr>
              <w:rFonts w:ascii="Arial" w:hAnsi="Arial" w:cs="Arial"/>
              <w:szCs w:val="22"/>
            </w:rPr>
          </w:pPr>
          <w:r>
            <w:rPr>
              <w:rFonts w:ascii="Arial" w:hAnsi="Arial" w:cs="Arial"/>
              <w:szCs w:val="22"/>
            </w:rPr>
            <w:t>In summer 2014, the LGA facilitated discussions between councillors and betting shop businesses as part of a six month ‘Betting Commission.’</w:t>
          </w:r>
        </w:p>
        <w:p w14:paraId="1DE0A065" w14:textId="77777777" w:rsidR="001F795D" w:rsidRDefault="001F795D" w:rsidP="00353D30">
          <w:pPr>
            <w:pStyle w:val="MainText"/>
            <w:numPr>
              <w:ilvl w:val="0"/>
              <w:numId w:val="24"/>
            </w:numPr>
            <w:spacing w:before="240" w:line="240" w:lineRule="auto"/>
            <w:rPr>
              <w:rFonts w:ascii="Arial" w:hAnsi="Arial" w:cs="Arial"/>
              <w:szCs w:val="22"/>
            </w:rPr>
          </w:pPr>
          <w:r>
            <w:rPr>
              <w:rFonts w:ascii="Arial" w:hAnsi="Arial" w:cs="Arial"/>
              <w:szCs w:val="22"/>
            </w:rPr>
            <w:t xml:space="preserve">The first meeting of the Commission acknowledged the </w:t>
          </w:r>
          <w:r w:rsidR="000A0C49">
            <w:rPr>
              <w:rFonts w:ascii="Arial" w:hAnsi="Arial" w:cs="Arial"/>
              <w:szCs w:val="22"/>
            </w:rPr>
            <w:t xml:space="preserve">general </w:t>
          </w:r>
          <w:r>
            <w:rPr>
              <w:rFonts w:ascii="Arial" w:hAnsi="Arial" w:cs="Arial"/>
              <w:szCs w:val="22"/>
            </w:rPr>
            <w:t>lack of reliable</w:t>
          </w:r>
          <w:r w:rsidR="000A0C49">
            <w:rPr>
              <w:rFonts w:ascii="Arial" w:hAnsi="Arial" w:cs="Arial"/>
              <w:szCs w:val="22"/>
            </w:rPr>
            <w:t xml:space="preserve"> data relating to issues and concerns linked</w:t>
          </w:r>
          <w:r w:rsidR="00374E7E">
            <w:rPr>
              <w:rFonts w:ascii="Arial" w:hAnsi="Arial" w:cs="Arial"/>
              <w:szCs w:val="22"/>
            </w:rPr>
            <w:t xml:space="preserve"> to betting shops. Westminster C</w:t>
          </w:r>
          <w:r w:rsidR="000A0C49">
            <w:rPr>
              <w:rFonts w:ascii="Arial" w:hAnsi="Arial" w:cs="Arial"/>
              <w:szCs w:val="22"/>
            </w:rPr>
            <w:t>ouncil advised that they had developed an outline of a research project intended to address this.</w:t>
          </w:r>
        </w:p>
        <w:p w14:paraId="1DE0A066" w14:textId="77777777" w:rsidR="000A0C49" w:rsidRDefault="000A0C49" w:rsidP="00353D30">
          <w:pPr>
            <w:pStyle w:val="MainText"/>
            <w:numPr>
              <w:ilvl w:val="0"/>
              <w:numId w:val="24"/>
            </w:numPr>
            <w:spacing w:before="240" w:line="240" w:lineRule="auto"/>
            <w:rPr>
              <w:rFonts w:ascii="Arial" w:hAnsi="Arial" w:cs="Arial"/>
              <w:szCs w:val="22"/>
            </w:rPr>
          </w:pPr>
          <w:r>
            <w:rPr>
              <w:rFonts w:ascii="Arial" w:hAnsi="Arial" w:cs="Arial"/>
              <w:szCs w:val="22"/>
            </w:rPr>
            <w:t xml:space="preserve">Following the conclusion of the Betting Commission, the LGA provided a grant of £30,000 to Westminster to enable them to commission the project as a joint partner with Manchester City Council. </w:t>
          </w:r>
        </w:p>
        <w:p w14:paraId="1DE0A067" w14:textId="77777777" w:rsidR="000A7FC2" w:rsidRPr="0021114E" w:rsidRDefault="000A7FC2" w:rsidP="000A7FC2">
          <w:pPr>
            <w:pStyle w:val="MainText"/>
            <w:spacing w:line="240" w:lineRule="auto"/>
            <w:ind w:left="360"/>
            <w:rPr>
              <w:rFonts w:ascii="Arial" w:hAnsi="Arial" w:cs="Arial"/>
              <w:szCs w:val="22"/>
            </w:rPr>
          </w:pPr>
        </w:p>
        <w:sdt>
          <w:sdtPr>
            <w:rPr>
              <w:rFonts w:ascii="Arial" w:hAnsi="Arial" w:cs="Arial"/>
              <w:b/>
              <w:szCs w:val="22"/>
            </w:rPr>
            <w:id w:val="1440720408"/>
            <w:lock w:val="sdtContentLocked"/>
            <w:placeholder>
              <w:docPart w:val="5DF78860E7444880B459DD047E3ADC82"/>
            </w:placeholder>
          </w:sdtPr>
          <w:sdtEndPr/>
          <w:sdtContent>
            <w:p w14:paraId="1DE0A068" w14:textId="77777777" w:rsidR="002414C2" w:rsidRPr="0021114E" w:rsidRDefault="00B125C2" w:rsidP="0021114E">
              <w:pPr>
                <w:pStyle w:val="MainText"/>
                <w:spacing w:line="240" w:lineRule="auto"/>
                <w:rPr>
                  <w:rFonts w:ascii="Arial" w:hAnsi="Arial" w:cs="Arial"/>
                  <w:b/>
                  <w:szCs w:val="22"/>
                </w:rPr>
              </w:pPr>
              <w:r>
                <w:rPr>
                  <w:rFonts w:ascii="Arial" w:hAnsi="Arial" w:cs="Arial"/>
                  <w:b/>
                  <w:szCs w:val="22"/>
                </w:rPr>
                <w:t>Issues</w:t>
              </w:r>
            </w:p>
          </w:sdtContent>
        </w:sdt>
        <w:p w14:paraId="1DE0A069" w14:textId="77777777" w:rsidR="00893E53" w:rsidRPr="0021114E" w:rsidRDefault="00893E53" w:rsidP="0021114E">
          <w:pPr>
            <w:pStyle w:val="ListParagraph"/>
            <w:rPr>
              <w:rFonts w:ascii="Arial" w:hAnsi="Arial" w:cs="Arial"/>
              <w:szCs w:val="22"/>
            </w:rPr>
          </w:pPr>
        </w:p>
        <w:p w14:paraId="1DE0A06A" w14:textId="77777777" w:rsidR="007A063E" w:rsidRPr="000A0C49" w:rsidRDefault="000A0C49" w:rsidP="000A0C49">
          <w:pPr>
            <w:pStyle w:val="ListParagraph"/>
            <w:numPr>
              <w:ilvl w:val="0"/>
              <w:numId w:val="24"/>
            </w:numPr>
            <w:rPr>
              <w:rFonts w:ascii="Arial" w:hAnsi="Arial" w:cs="Arial"/>
              <w:szCs w:val="22"/>
            </w:rPr>
          </w:pPr>
          <w:r w:rsidRPr="000A0C49">
            <w:rPr>
              <w:rFonts w:ascii="Arial" w:hAnsi="Arial" w:cs="Arial"/>
              <w:szCs w:val="22"/>
            </w:rPr>
            <w:t>The overall objective of the project was to develop an approach that helped to understand local area vulnerability to gambling related harm. The projec</w:t>
          </w:r>
          <w:r>
            <w:rPr>
              <w:rFonts w:ascii="Arial" w:hAnsi="Arial" w:cs="Arial"/>
              <w:szCs w:val="22"/>
            </w:rPr>
            <w:t xml:space="preserve">t was led by Geofutures, a firm </w:t>
          </w:r>
          <w:r w:rsidRPr="000A0C49">
            <w:rPr>
              <w:rFonts w:ascii="Arial" w:hAnsi="Arial" w:cs="Arial"/>
              <w:szCs w:val="22"/>
            </w:rPr>
            <w:t xml:space="preserve">specialising </w:t>
          </w:r>
          <w:r w:rsidRPr="00A847F9">
            <w:rPr>
              <w:rFonts w:ascii="Arial" w:hAnsi="Arial" w:cs="Arial"/>
              <w:szCs w:val="22"/>
            </w:rPr>
            <w:t xml:space="preserve">in </w:t>
          </w:r>
          <w:r w:rsidRPr="00A847F9">
            <w:rPr>
              <w:rFonts w:ascii="Arial" w:hAnsi="Arial" w:cs="Arial"/>
              <w:lang w:val="en-US"/>
            </w:rPr>
            <w:t>spatial data analysis and mapping.</w:t>
          </w:r>
        </w:p>
        <w:p w14:paraId="1DE0A06B" w14:textId="77777777" w:rsidR="000A0C49" w:rsidRPr="000A0C49" w:rsidRDefault="000A0C49" w:rsidP="000A0C49">
          <w:pPr>
            <w:pStyle w:val="ListParagraph"/>
            <w:ind w:left="360"/>
            <w:rPr>
              <w:rFonts w:ascii="Arial" w:hAnsi="Arial" w:cs="Arial"/>
              <w:szCs w:val="22"/>
            </w:rPr>
          </w:pPr>
        </w:p>
        <w:p w14:paraId="1DE0A06C" w14:textId="77777777" w:rsidR="0087546A" w:rsidRPr="007A063E" w:rsidRDefault="000A0C49" w:rsidP="0021114E">
          <w:pPr>
            <w:pStyle w:val="ListParagraph"/>
            <w:numPr>
              <w:ilvl w:val="0"/>
              <w:numId w:val="24"/>
            </w:numPr>
            <w:rPr>
              <w:rFonts w:ascii="Arial" w:hAnsi="Arial" w:cs="Arial"/>
              <w:szCs w:val="22"/>
            </w:rPr>
          </w:pPr>
          <w:r>
            <w:rPr>
              <w:rFonts w:ascii="Arial" w:hAnsi="Arial" w:cs="Arial"/>
              <w:szCs w:val="22"/>
            </w:rPr>
            <w:t xml:space="preserve">The project ran in two stages. Recognising </w:t>
          </w:r>
          <w:r>
            <w:rPr>
              <w:rFonts w:ascii="Arial" w:hAnsi="Arial" w:cs="Arial"/>
            </w:rPr>
            <w:t>the lack of clear understanding about what harm from gambling actually is and who might be affected</w:t>
          </w:r>
          <w:r>
            <w:rPr>
              <w:rFonts w:ascii="Arial" w:hAnsi="Arial" w:cs="Arial"/>
              <w:szCs w:val="22"/>
            </w:rPr>
            <w:t xml:space="preserve"> by it, the first stage focused on developing a better understanding of who is at risk; the second focused on how this information could be mapped</w:t>
          </w:r>
          <w:r w:rsidR="005240CB">
            <w:rPr>
              <w:rFonts w:ascii="Arial" w:hAnsi="Arial" w:cs="Arial"/>
              <w:szCs w:val="22"/>
            </w:rPr>
            <w:t xml:space="preserve"> and used by </w:t>
          </w:r>
          <w:r w:rsidR="00A847F9">
            <w:rPr>
              <w:rFonts w:ascii="Arial" w:hAnsi="Arial" w:cs="Arial"/>
              <w:szCs w:val="22"/>
            </w:rPr>
            <w:t xml:space="preserve">the </w:t>
          </w:r>
          <w:r w:rsidR="005240CB">
            <w:rPr>
              <w:rFonts w:ascii="Arial" w:hAnsi="Arial" w:cs="Arial"/>
              <w:szCs w:val="22"/>
            </w:rPr>
            <w:t>councils to help understand the risks in their areas.</w:t>
          </w:r>
        </w:p>
        <w:p w14:paraId="1DE0A06D" w14:textId="77777777" w:rsidR="0087546A" w:rsidRPr="0021114E" w:rsidRDefault="0087546A" w:rsidP="0021114E">
          <w:pPr>
            <w:pStyle w:val="ListParagraph"/>
            <w:rPr>
              <w:rFonts w:ascii="Arial" w:hAnsi="Arial" w:cs="Arial"/>
              <w:szCs w:val="22"/>
            </w:rPr>
          </w:pPr>
        </w:p>
        <w:p w14:paraId="1DE0A06E" w14:textId="77777777" w:rsidR="0087546A" w:rsidRDefault="00706663" w:rsidP="0021114E">
          <w:pPr>
            <w:pStyle w:val="ListParagraph"/>
            <w:numPr>
              <w:ilvl w:val="0"/>
              <w:numId w:val="24"/>
            </w:numPr>
            <w:rPr>
              <w:rFonts w:ascii="Arial" w:hAnsi="Arial" w:cs="Arial"/>
              <w:szCs w:val="22"/>
            </w:rPr>
          </w:pPr>
          <w:r>
            <w:rPr>
              <w:rFonts w:ascii="Arial" w:hAnsi="Arial" w:cs="Arial"/>
              <w:szCs w:val="22"/>
            </w:rPr>
            <w:t>The first stage of the project was led by Heather Wardle, a gambling research specialist who sat on the LGA Betting Commission.  This stage reviewed existing literature and data on gambling related harm.</w:t>
          </w:r>
        </w:p>
        <w:p w14:paraId="1DE0A06F" w14:textId="77777777" w:rsidR="00706663" w:rsidRPr="00706663" w:rsidRDefault="00706663" w:rsidP="00706663">
          <w:pPr>
            <w:pStyle w:val="ListParagraph"/>
            <w:rPr>
              <w:rFonts w:ascii="Arial" w:hAnsi="Arial" w:cs="Arial"/>
              <w:szCs w:val="22"/>
            </w:rPr>
          </w:pPr>
        </w:p>
        <w:p w14:paraId="1DE0A070" w14:textId="77777777" w:rsidR="00706663" w:rsidRPr="00706663" w:rsidRDefault="00706663" w:rsidP="0021114E">
          <w:pPr>
            <w:pStyle w:val="ListParagraph"/>
            <w:numPr>
              <w:ilvl w:val="0"/>
              <w:numId w:val="24"/>
            </w:numPr>
            <w:rPr>
              <w:rFonts w:ascii="Arial" w:hAnsi="Arial" w:cs="Arial"/>
              <w:szCs w:val="22"/>
            </w:rPr>
          </w:pPr>
          <w:r>
            <w:rPr>
              <w:rFonts w:ascii="Arial" w:hAnsi="Arial" w:cs="Arial"/>
            </w:rPr>
            <w:t xml:space="preserve">This identified a number of groups for whom there was evidence to show that they were more vulnerable to experiencing harm from gambling than the general population.  </w:t>
          </w:r>
          <w:r w:rsidRPr="00C26AA8">
            <w:rPr>
              <w:rFonts w:ascii="Arial" w:hAnsi="Arial" w:cs="Arial"/>
            </w:rPr>
            <w:t>These are: children, adolescents and young adults (including students); people with mental health issues, including those experiencing substance abuse issues; individuals from certain minority ethnic groups; the unemployed; homeless people; those with low intellectual functioning; problem gamblers seeking treatment, those with financially constrained circumstances and those living in deprived areas.</w:t>
          </w:r>
          <w:r>
            <w:rPr>
              <w:rFonts w:ascii="Arial" w:hAnsi="Arial" w:cs="Arial"/>
            </w:rPr>
            <w:t xml:space="preserve">  </w:t>
          </w:r>
        </w:p>
        <w:p w14:paraId="1DE0A071" w14:textId="77777777" w:rsidR="00706663" w:rsidRPr="00706663" w:rsidRDefault="00706663" w:rsidP="00706663">
          <w:pPr>
            <w:pStyle w:val="ListParagraph"/>
            <w:rPr>
              <w:rFonts w:ascii="Arial" w:hAnsi="Arial" w:cs="Arial"/>
              <w:szCs w:val="22"/>
            </w:rPr>
          </w:pPr>
        </w:p>
        <w:p w14:paraId="1DE0A072" w14:textId="77777777" w:rsidR="00706663" w:rsidRDefault="00706663" w:rsidP="00706663">
          <w:pPr>
            <w:pStyle w:val="ListParagraph"/>
            <w:numPr>
              <w:ilvl w:val="0"/>
              <w:numId w:val="24"/>
            </w:numPr>
            <w:rPr>
              <w:rFonts w:ascii="Arial" w:hAnsi="Arial" w:cs="Arial"/>
            </w:rPr>
          </w:pPr>
          <w:r w:rsidRPr="00706663">
            <w:rPr>
              <w:rFonts w:ascii="Arial" w:hAnsi="Arial" w:cs="Arial"/>
            </w:rPr>
            <w:t>The next stage of the project involved identifying datasets that could be used to map out these at risk groups in terms of local areas. National data from the 2011 census was combined with local level data – such as health information and the location of relevant services (for example, for problem gamblers, the homeless or people dealing with substance abuse, or educational establishments) – to identify ‘hotspot’ areas where there may be greater numbers of people who are potentially more vulnerable to harm from gambling.</w:t>
          </w:r>
        </w:p>
        <w:p w14:paraId="1DE0A073" w14:textId="77777777" w:rsidR="00706663" w:rsidRPr="00706663" w:rsidRDefault="00706663" w:rsidP="00706663">
          <w:pPr>
            <w:rPr>
              <w:rFonts w:ascii="Arial" w:hAnsi="Arial" w:cs="Arial"/>
            </w:rPr>
          </w:pPr>
        </w:p>
        <w:p w14:paraId="1DE0A074" w14:textId="3A81E6E4" w:rsidR="00706663" w:rsidRDefault="00706663" w:rsidP="0021114E">
          <w:pPr>
            <w:pStyle w:val="ListParagraph"/>
            <w:numPr>
              <w:ilvl w:val="0"/>
              <w:numId w:val="24"/>
            </w:numPr>
            <w:rPr>
              <w:rFonts w:ascii="Arial" w:hAnsi="Arial" w:cs="Arial"/>
              <w:szCs w:val="22"/>
            </w:rPr>
          </w:pPr>
          <w:r>
            <w:rPr>
              <w:rFonts w:ascii="Arial" w:hAnsi="Arial" w:cs="Arial"/>
              <w:szCs w:val="22"/>
            </w:rPr>
            <w:t xml:space="preserve">The final report from the project is attached as </w:t>
          </w:r>
          <w:r w:rsidR="00E27D9C" w:rsidRPr="00E27D9C">
            <w:rPr>
              <w:rFonts w:ascii="Arial" w:hAnsi="Arial" w:cs="Arial"/>
              <w:b/>
              <w:szCs w:val="22"/>
              <w:u w:val="single"/>
            </w:rPr>
            <w:t>Appendix A</w:t>
          </w:r>
          <w:bookmarkStart w:id="2" w:name="_GoBack"/>
          <w:bookmarkEnd w:id="2"/>
          <w:r>
            <w:rPr>
              <w:rFonts w:ascii="Arial" w:hAnsi="Arial" w:cs="Arial"/>
              <w:szCs w:val="22"/>
            </w:rPr>
            <w:t xml:space="preserve">, and shows the maps that were produced for each council (page 58 onwards). These enable the two councils to identify areas with the greatest vulnerability to gambling related harm, based on the aggregation of individual risk factors. </w:t>
          </w:r>
        </w:p>
        <w:p w14:paraId="1DE0A075" w14:textId="77777777" w:rsidR="0087546A" w:rsidRPr="0021114E" w:rsidRDefault="0087546A" w:rsidP="0021114E">
          <w:pPr>
            <w:rPr>
              <w:rFonts w:ascii="Arial" w:hAnsi="Arial" w:cs="Arial"/>
              <w:szCs w:val="22"/>
            </w:rPr>
          </w:pPr>
        </w:p>
        <w:p w14:paraId="1DE0A076" w14:textId="77777777" w:rsidR="00C747C5" w:rsidRPr="00CC1283" w:rsidRDefault="00CC1283" w:rsidP="00C747C5">
          <w:pPr>
            <w:pStyle w:val="ListParagraph"/>
            <w:numPr>
              <w:ilvl w:val="0"/>
              <w:numId w:val="24"/>
            </w:numPr>
            <w:rPr>
              <w:rFonts w:ascii="Arial" w:hAnsi="Arial" w:cs="Arial"/>
              <w:szCs w:val="22"/>
            </w:rPr>
          </w:pPr>
          <w:r>
            <w:rPr>
              <w:rFonts w:ascii="Arial" w:hAnsi="Arial" w:cs="Arial"/>
              <w:szCs w:val="22"/>
            </w:rPr>
            <w:t xml:space="preserve">In particular, the tools and underpinning research </w:t>
          </w:r>
          <w:r>
            <w:rPr>
              <w:rFonts w:ascii="Arial" w:hAnsi="Arial" w:cs="Arial"/>
            </w:rPr>
            <w:t>will enable Westminster and Manchester to provide a robust basis for new social responsibility</w:t>
          </w:r>
          <w:r w:rsidR="00A847F9">
            <w:rPr>
              <w:rFonts w:ascii="Arial" w:hAnsi="Arial" w:cs="Arial"/>
            </w:rPr>
            <w:t xml:space="preserve"> requirements</w:t>
          </w:r>
          <w:r>
            <w:rPr>
              <w:rFonts w:ascii="Arial" w:hAnsi="Arial" w:cs="Arial"/>
            </w:rPr>
            <w:t xml:space="preserve"> introduced by the Gambling Commission. Since April 2016, gambling operators have been required to prepare local area risk assessments setting out how their premises will manage local risks to the licensing objectives. Councils are therefore being encouraged to produce local area profiles providing more detail about their areas, including what the local risks may be and what they expect of operators in those places.</w:t>
          </w:r>
        </w:p>
        <w:p w14:paraId="1DE0A077" w14:textId="77777777" w:rsidR="00CC1283" w:rsidRPr="00CC1283" w:rsidRDefault="00CC1283" w:rsidP="00CC1283">
          <w:pPr>
            <w:pStyle w:val="ListParagraph"/>
            <w:rPr>
              <w:rFonts w:ascii="Arial" w:hAnsi="Arial" w:cs="Arial"/>
              <w:szCs w:val="22"/>
            </w:rPr>
          </w:pPr>
        </w:p>
        <w:p w14:paraId="1DE0A078" w14:textId="77777777" w:rsidR="00B014A6" w:rsidRPr="008D1A9E" w:rsidRDefault="00CC1283" w:rsidP="008D1A9E">
          <w:pPr>
            <w:pStyle w:val="ListParagraph"/>
            <w:numPr>
              <w:ilvl w:val="0"/>
              <w:numId w:val="24"/>
            </w:numPr>
            <w:rPr>
              <w:rFonts w:ascii="Arial" w:hAnsi="Arial" w:cs="Arial"/>
              <w:szCs w:val="22"/>
            </w:rPr>
          </w:pPr>
          <w:r w:rsidRPr="008D1A9E">
            <w:rPr>
              <w:rFonts w:ascii="Arial" w:hAnsi="Arial" w:cs="Arial"/>
            </w:rPr>
            <w:t xml:space="preserve">On the basis of the research, the councils </w:t>
          </w:r>
          <w:r w:rsidR="00A847F9">
            <w:rPr>
              <w:rFonts w:ascii="Arial" w:hAnsi="Arial" w:cs="Arial"/>
            </w:rPr>
            <w:t xml:space="preserve">also </w:t>
          </w:r>
          <w:r w:rsidRPr="008D1A9E">
            <w:rPr>
              <w:rFonts w:ascii="Arial" w:hAnsi="Arial" w:cs="Arial"/>
            </w:rPr>
            <w:t>now have clear grounds for assessing the risk of harm to vulnerable persons from individual gambling premises, which would allow them to identify any appropriate conditions and - if the data can be shown to justify it - potentially even introduce a higher threshold for the opening of a new premise in certain areas.</w:t>
          </w:r>
        </w:p>
        <w:p w14:paraId="1DE0A079" w14:textId="77777777" w:rsidR="005F0364" w:rsidRDefault="005F0364" w:rsidP="005F0364">
          <w:pPr>
            <w:rPr>
              <w:rFonts w:ascii="Arial" w:hAnsi="Arial" w:cs="Arial"/>
              <w:b/>
              <w:szCs w:val="22"/>
            </w:rPr>
          </w:pPr>
        </w:p>
        <w:sdt>
          <w:sdtPr>
            <w:rPr>
              <w:rFonts w:ascii="Arial" w:hAnsi="Arial" w:cs="Arial"/>
              <w:b/>
              <w:szCs w:val="22"/>
            </w:rPr>
            <w:id w:val="-409471020"/>
            <w:lock w:val="sdtContentLocked"/>
            <w:placeholder>
              <w:docPart w:val="5DF78860E7444880B459DD047E3ADC82"/>
            </w:placeholder>
          </w:sdtPr>
          <w:sdtEndPr/>
          <w:sdtContent>
            <w:p w14:paraId="1DE0A07A"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1DE0A07B" w14:textId="77777777" w:rsidR="00A41125" w:rsidRPr="0021114E" w:rsidRDefault="00A41125" w:rsidP="0021114E">
          <w:pPr>
            <w:rPr>
              <w:rFonts w:ascii="Arial" w:hAnsi="Arial" w:cs="Arial"/>
              <w:szCs w:val="22"/>
            </w:rPr>
          </w:pPr>
        </w:p>
        <w:p w14:paraId="1DE0A07C" w14:textId="77777777" w:rsidR="008D1A9E" w:rsidRDefault="008D1A9E" w:rsidP="0021114E">
          <w:pPr>
            <w:pStyle w:val="ListParagraph"/>
            <w:numPr>
              <w:ilvl w:val="0"/>
              <w:numId w:val="24"/>
            </w:numPr>
            <w:rPr>
              <w:rFonts w:ascii="Arial" w:hAnsi="Arial" w:cs="Arial"/>
              <w:szCs w:val="22"/>
            </w:rPr>
          </w:pPr>
          <w:r>
            <w:rPr>
              <w:rFonts w:ascii="Arial" w:hAnsi="Arial" w:cs="Arial"/>
              <w:szCs w:val="22"/>
            </w:rPr>
            <w:t>The project team hosted open meetings as the project was launched, at the conclusion of the literature review, and at the conclusion of the project. Alongside interest among the gambling industry, a number of councils attended these sessions and expressed interest in the tool.</w:t>
          </w:r>
        </w:p>
        <w:p w14:paraId="1DE0A07D" w14:textId="77777777" w:rsidR="008D1A9E" w:rsidRDefault="008D1A9E" w:rsidP="008D1A9E">
          <w:pPr>
            <w:pStyle w:val="ListParagraph"/>
            <w:ind w:left="360"/>
            <w:rPr>
              <w:rFonts w:ascii="Arial" w:hAnsi="Arial" w:cs="Arial"/>
              <w:szCs w:val="22"/>
            </w:rPr>
          </w:pPr>
        </w:p>
        <w:p w14:paraId="1DE0A07E" w14:textId="77777777" w:rsidR="005F0364" w:rsidRDefault="008D1A9E" w:rsidP="0021114E">
          <w:pPr>
            <w:pStyle w:val="ListParagraph"/>
            <w:numPr>
              <w:ilvl w:val="0"/>
              <w:numId w:val="24"/>
            </w:numPr>
            <w:rPr>
              <w:rFonts w:ascii="Arial" w:hAnsi="Arial" w:cs="Arial"/>
              <w:szCs w:val="22"/>
            </w:rPr>
          </w:pPr>
          <w:r>
            <w:rPr>
              <w:rFonts w:ascii="Arial" w:hAnsi="Arial" w:cs="Arial"/>
              <w:szCs w:val="22"/>
            </w:rPr>
            <w:t xml:space="preserve"> The LGA has publicised the outcomes from the project in our bulletin and in First magazine. We are also intending to hold a gambling focused conference in Autumn 2017, which will include a focus on local area profiles and the Geofutures tool.</w:t>
          </w:r>
        </w:p>
        <w:p w14:paraId="1DE0A07F" w14:textId="77777777" w:rsidR="008D1A9E" w:rsidRPr="008D1A9E" w:rsidRDefault="008D1A9E" w:rsidP="008D1A9E">
          <w:pPr>
            <w:pStyle w:val="ListParagraph"/>
            <w:rPr>
              <w:rFonts w:ascii="Arial" w:hAnsi="Arial" w:cs="Arial"/>
              <w:szCs w:val="22"/>
            </w:rPr>
          </w:pPr>
        </w:p>
        <w:p w14:paraId="1DE0A080" w14:textId="39C6D174" w:rsidR="005E328A" w:rsidRDefault="008D1A9E" w:rsidP="0021114E">
          <w:pPr>
            <w:pStyle w:val="ListParagraph"/>
            <w:numPr>
              <w:ilvl w:val="0"/>
              <w:numId w:val="24"/>
            </w:numPr>
            <w:rPr>
              <w:rFonts w:ascii="Arial" w:hAnsi="Arial" w:cs="Arial"/>
              <w:szCs w:val="22"/>
            </w:rPr>
          </w:pPr>
          <w:r>
            <w:rPr>
              <w:rFonts w:ascii="Arial" w:hAnsi="Arial" w:cs="Arial"/>
              <w:szCs w:val="22"/>
            </w:rPr>
            <w:t>We are also considering the options for making the tool available to councils more widely.</w:t>
          </w:r>
          <w:r w:rsidR="00E36F74">
            <w:rPr>
              <w:rFonts w:ascii="Arial" w:hAnsi="Arial" w:cs="Arial"/>
              <w:szCs w:val="22"/>
            </w:rPr>
            <w:t xml:space="preserve"> We have held initial discussions with Geofutures about the scope for incorporating a basic level of the tool (based on national datasets) to all council subscribers to our existing LG </w:t>
          </w:r>
          <w:r w:rsidR="000730B6">
            <w:rPr>
              <w:rFonts w:ascii="Arial" w:hAnsi="Arial" w:cs="Arial"/>
              <w:szCs w:val="22"/>
            </w:rPr>
            <w:t>Inform</w:t>
          </w:r>
          <w:r w:rsidR="00E36F74">
            <w:rPr>
              <w:rFonts w:ascii="Arial" w:hAnsi="Arial" w:cs="Arial"/>
              <w:szCs w:val="22"/>
            </w:rPr>
            <w:t xml:space="preserve"> tool. </w:t>
          </w:r>
          <w:r w:rsidR="005E328A">
            <w:rPr>
              <w:rFonts w:ascii="Arial" w:hAnsi="Arial" w:cs="Arial"/>
              <w:szCs w:val="22"/>
            </w:rPr>
            <w:t>This would require two pieces of work, focusing firstly on the data and secondly on linking the Geofutures model to LG Inform.</w:t>
          </w:r>
        </w:p>
        <w:p w14:paraId="1DE0A081" w14:textId="77777777" w:rsidR="005E328A" w:rsidRPr="005E328A" w:rsidRDefault="005E328A" w:rsidP="005E328A">
          <w:pPr>
            <w:pStyle w:val="ListParagraph"/>
            <w:rPr>
              <w:rFonts w:ascii="Arial" w:hAnsi="Arial" w:cs="Arial"/>
              <w:szCs w:val="22"/>
            </w:rPr>
          </w:pPr>
        </w:p>
        <w:p w14:paraId="1DE0A082" w14:textId="77777777" w:rsidR="008D1A9E" w:rsidRPr="005E328A" w:rsidRDefault="00E36F74" w:rsidP="00775550">
          <w:pPr>
            <w:pStyle w:val="ListParagraph"/>
            <w:numPr>
              <w:ilvl w:val="0"/>
              <w:numId w:val="24"/>
            </w:numPr>
            <w:rPr>
              <w:rFonts w:ascii="Arial" w:hAnsi="Arial" w:cs="Arial"/>
              <w:szCs w:val="22"/>
            </w:rPr>
          </w:pPr>
          <w:r w:rsidRPr="005E328A">
            <w:rPr>
              <w:rFonts w:ascii="Arial" w:hAnsi="Arial" w:cs="Arial"/>
              <w:szCs w:val="22"/>
            </w:rPr>
            <w:t xml:space="preserve">The Gambling Commission are also interested in making national data models available </w:t>
          </w:r>
          <w:r w:rsidR="005E328A" w:rsidRPr="005E328A">
            <w:rPr>
              <w:rFonts w:ascii="Arial" w:hAnsi="Arial" w:cs="Arial"/>
              <w:szCs w:val="22"/>
            </w:rPr>
            <w:t>on their websites, and we have discussed with them the scope for joining up on the data focused work required.</w:t>
          </w:r>
          <w:r w:rsidR="005E328A">
            <w:rPr>
              <w:rFonts w:ascii="Arial" w:hAnsi="Arial" w:cs="Arial"/>
              <w:szCs w:val="22"/>
            </w:rPr>
            <w:t xml:space="preserve"> </w:t>
          </w:r>
          <w:r w:rsidR="005E328A" w:rsidRPr="005E328A">
            <w:rPr>
              <w:rFonts w:ascii="Arial" w:hAnsi="Arial" w:cs="Arial"/>
              <w:szCs w:val="22"/>
            </w:rPr>
            <w:t xml:space="preserve">However, the </w:t>
          </w:r>
          <w:r w:rsidR="005E328A">
            <w:rPr>
              <w:rFonts w:ascii="Arial" w:hAnsi="Arial" w:cs="Arial"/>
              <w:szCs w:val="22"/>
            </w:rPr>
            <w:t xml:space="preserve">indicative </w:t>
          </w:r>
          <w:r w:rsidR="005E328A" w:rsidRPr="005E328A">
            <w:rPr>
              <w:rFonts w:ascii="Arial" w:hAnsi="Arial" w:cs="Arial"/>
              <w:szCs w:val="22"/>
            </w:rPr>
            <w:t>costs quoted for this are extremely high</w:t>
          </w:r>
          <w:r w:rsidR="005E328A">
            <w:rPr>
              <w:rFonts w:ascii="Arial" w:hAnsi="Arial" w:cs="Arial"/>
              <w:szCs w:val="22"/>
            </w:rPr>
            <w:t xml:space="preserve"> (£120,000-£180,000 across Britain) and at the current time it does not appear feasible to do so.</w:t>
          </w:r>
        </w:p>
        <w:p w14:paraId="1DE0A083" w14:textId="77777777" w:rsidR="008D1A9E" w:rsidRPr="008D1A9E" w:rsidRDefault="008D1A9E" w:rsidP="008D1A9E">
          <w:pPr>
            <w:pStyle w:val="ListParagraph"/>
            <w:rPr>
              <w:rFonts w:ascii="Arial" w:hAnsi="Arial" w:cs="Arial"/>
              <w:szCs w:val="22"/>
            </w:rPr>
          </w:pPr>
        </w:p>
        <w:p w14:paraId="1DE0A084" w14:textId="77777777" w:rsidR="008D1A9E" w:rsidRDefault="005E328A" w:rsidP="0021114E">
          <w:pPr>
            <w:pStyle w:val="ListParagraph"/>
            <w:numPr>
              <w:ilvl w:val="0"/>
              <w:numId w:val="24"/>
            </w:numPr>
            <w:rPr>
              <w:rFonts w:ascii="Arial" w:hAnsi="Arial" w:cs="Arial"/>
              <w:szCs w:val="22"/>
            </w:rPr>
          </w:pPr>
          <w:r>
            <w:rPr>
              <w:rFonts w:ascii="Arial" w:hAnsi="Arial" w:cs="Arial"/>
              <w:szCs w:val="22"/>
            </w:rPr>
            <w:t>Officers will continue to explore the potential options for supporting a wider roll out of the tool.</w:t>
          </w:r>
        </w:p>
        <w:p w14:paraId="1DE0A085" w14:textId="77777777" w:rsidR="00E36F74" w:rsidRPr="00E36F74" w:rsidRDefault="00E36F74" w:rsidP="00E36F74">
          <w:pPr>
            <w:pStyle w:val="ListParagraph"/>
            <w:rPr>
              <w:rFonts w:ascii="Arial" w:hAnsi="Arial" w:cs="Arial"/>
              <w:szCs w:val="22"/>
            </w:rPr>
          </w:pPr>
        </w:p>
        <w:p w14:paraId="1DE0A086" w14:textId="77777777" w:rsidR="008D1A9E" w:rsidRPr="008D1A9E" w:rsidRDefault="008D1A9E" w:rsidP="008D1A9E">
          <w:pPr>
            <w:rPr>
              <w:rFonts w:ascii="Arial" w:hAnsi="Arial" w:cs="Arial"/>
              <w:b/>
              <w:szCs w:val="22"/>
            </w:rPr>
          </w:pPr>
          <w:r w:rsidRPr="008D1A9E">
            <w:rPr>
              <w:rFonts w:ascii="Arial" w:hAnsi="Arial" w:cs="Arial"/>
              <w:b/>
              <w:szCs w:val="22"/>
            </w:rPr>
            <w:t>Implications for Wales</w:t>
          </w:r>
        </w:p>
        <w:p w14:paraId="1DE0A087" w14:textId="77777777" w:rsidR="008D1A9E" w:rsidRPr="008D1A9E" w:rsidRDefault="008D1A9E" w:rsidP="008D1A9E">
          <w:pPr>
            <w:rPr>
              <w:rFonts w:ascii="Arial" w:hAnsi="Arial" w:cs="Arial"/>
              <w:szCs w:val="22"/>
            </w:rPr>
          </w:pPr>
        </w:p>
        <w:p w14:paraId="1DE0A088" w14:textId="77777777" w:rsidR="008D1A9E" w:rsidRDefault="008D1A9E" w:rsidP="0021114E">
          <w:pPr>
            <w:pStyle w:val="ListParagraph"/>
            <w:numPr>
              <w:ilvl w:val="0"/>
              <w:numId w:val="24"/>
            </w:numPr>
            <w:rPr>
              <w:rFonts w:ascii="Arial" w:hAnsi="Arial" w:cs="Arial"/>
              <w:szCs w:val="22"/>
            </w:rPr>
          </w:pPr>
          <w:r>
            <w:rPr>
              <w:rFonts w:ascii="Arial" w:hAnsi="Arial" w:cs="Arial"/>
              <w:szCs w:val="22"/>
            </w:rPr>
            <w:t>Gambling</w:t>
          </w:r>
          <w:r w:rsidR="00E36F74">
            <w:rPr>
              <w:rFonts w:ascii="Arial" w:hAnsi="Arial" w:cs="Arial"/>
              <w:szCs w:val="22"/>
            </w:rPr>
            <w:t xml:space="preserve"> licensing is a reserved matter</w:t>
          </w:r>
          <w:r>
            <w:rPr>
              <w:rFonts w:ascii="Arial" w:hAnsi="Arial" w:cs="Arial"/>
              <w:szCs w:val="22"/>
            </w:rPr>
            <w:t>.</w:t>
          </w:r>
          <w:r w:rsidR="00E36F74">
            <w:rPr>
              <w:rFonts w:ascii="Arial" w:hAnsi="Arial" w:cs="Arial"/>
              <w:szCs w:val="22"/>
            </w:rPr>
            <w:t xml:space="preserve"> The Gambling Commission’s interest in the wider use of this tool extends across the whole of Britain.</w:t>
          </w:r>
        </w:p>
        <w:p w14:paraId="1DE0A089" w14:textId="77777777" w:rsidR="00353D30" w:rsidRPr="00C747C5" w:rsidRDefault="00353D30" w:rsidP="00C747C5">
          <w:pPr>
            <w:spacing w:before="120"/>
            <w:rPr>
              <w:rFonts w:ascii="Arial" w:hAnsi="Arial" w:cs="Arial"/>
              <w:szCs w:val="22"/>
            </w:rPr>
          </w:pPr>
        </w:p>
        <w:sdt>
          <w:sdtPr>
            <w:rPr>
              <w:rFonts w:ascii="Arial" w:hAnsi="Arial" w:cs="Arial"/>
              <w:b/>
              <w:szCs w:val="22"/>
            </w:rPr>
            <w:id w:val="771284239"/>
            <w:lock w:val="sdtContentLocked"/>
            <w:placeholder>
              <w:docPart w:val="5DF78860E7444880B459DD047E3ADC82"/>
            </w:placeholder>
          </w:sdtPr>
          <w:sdtEndPr/>
          <w:sdtContent>
            <w:p w14:paraId="1DE0A08A"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1DE0A08B" w14:textId="77777777" w:rsidR="00982B41" w:rsidRPr="004B0FD9" w:rsidRDefault="00B67071" w:rsidP="00374E7E">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dtContent>
    </w:sdt>
    <w:sectPr w:rsidR="00982B41" w:rsidRPr="004B0FD9" w:rsidSect="00277878">
      <w:headerReference w:type="default" r:id="rId12"/>
      <w:footerReference w:type="default" r:id="rId13"/>
      <w:headerReference w:type="first" r:id="rId14"/>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E0A08E" w14:textId="77777777" w:rsidR="00374E7E" w:rsidRDefault="00374E7E">
      <w:r>
        <w:separator/>
      </w:r>
    </w:p>
  </w:endnote>
  <w:endnote w:type="continuationSeparator" w:id="0">
    <w:p w14:paraId="1DE0A08F" w14:textId="77777777" w:rsidR="00374E7E" w:rsidRDefault="00374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2A62D7A-D6B3-40E1-8818-36D6A33B70F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EBF1D470-DB7E-4AEC-A3EC-278E59D3AABB}"/>
  </w:font>
  <w:font w:name="Calibri">
    <w:panose1 w:val="020F0502020204030204"/>
    <w:charset w:val="00"/>
    <w:family w:val="swiss"/>
    <w:pitch w:val="variable"/>
    <w:sig w:usb0="E00002FF" w:usb1="4000ACFF" w:usb2="00000001" w:usb3="00000000" w:csb0="0000019F" w:csb1="00000000"/>
    <w:embedRegular r:id="rId3" w:fontKey="{4CA5B7FD-B3B7-4C0C-B2BA-B60727426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0A09A" w14:textId="77777777" w:rsidR="00E36F74" w:rsidRDefault="00E36F74">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0A08C" w14:textId="77777777" w:rsidR="00374E7E" w:rsidRDefault="00374E7E">
      <w:r>
        <w:separator/>
      </w:r>
    </w:p>
  </w:footnote>
  <w:footnote w:type="continuationSeparator" w:id="0">
    <w:p w14:paraId="1DE0A08D" w14:textId="77777777" w:rsidR="00374E7E" w:rsidRDefault="00374E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36F74" w:rsidRPr="004F266E" w14:paraId="1DE0A092" w14:textId="77777777" w:rsidTr="00A17E5F">
      <w:tc>
        <w:tcPr>
          <w:tcW w:w="5920" w:type="dxa"/>
          <w:vMerge w:val="restart"/>
          <w:shd w:val="clear" w:color="auto" w:fill="auto"/>
        </w:tcPr>
        <w:p w14:paraId="1DE0A090" w14:textId="77777777" w:rsidR="00E36F74" w:rsidRPr="00374227" w:rsidRDefault="00E36F74" w:rsidP="00A17E5F">
          <w:pPr>
            <w:pStyle w:val="Header"/>
            <w:tabs>
              <w:tab w:val="clear" w:pos="4153"/>
              <w:tab w:val="clear" w:pos="8306"/>
              <w:tab w:val="center" w:pos="2923"/>
            </w:tabs>
          </w:pPr>
          <w:r>
            <w:rPr>
              <w:rFonts w:ascii="Arial" w:hAnsi="Arial" w:cs="Arial"/>
              <w:noProof/>
              <w:sz w:val="44"/>
              <w:szCs w:val="44"/>
            </w:rPr>
            <w:drawing>
              <wp:inline distT="0" distB="0" distL="0" distR="0" wp14:anchorId="1DE0A0A7" wp14:editId="1DE0A0A8">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3ADDD213D1854E24A51316DD20FBA2A4"/>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1DE0A091" w14:textId="77777777" w:rsidR="00E36F74" w:rsidRPr="00374227" w:rsidRDefault="00254E9B" w:rsidP="0087571E">
              <w:pPr>
                <w:pStyle w:val="Header"/>
                <w:rPr>
                  <w:rFonts w:ascii="Arial" w:hAnsi="Arial" w:cs="Arial"/>
                  <w:b/>
                  <w:szCs w:val="22"/>
                </w:rPr>
              </w:pPr>
              <w:r>
                <w:rPr>
                  <w:rFonts w:ascii="Arial" w:hAnsi="Arial" w:cs="Arial"/>
                  <w:b/>
                  <w:szCs w:val="22"/>
                </w:rPr>
                <w:t>Safer &amp; Stronger Communities Board</w:t>
              </w:r>
            </w:p>
          </w:sdtContent>
        </w:sdt>
      </w:tc>
    </w:tr>
    <w:tr w:rsidR="00E36F74" w14:paraId="1DE0A095" w14:textId="77777777" w:rsidTr="00A17E5F">
      <w:trPr>
        <w:trHeight w:val="450"/>
      </w:trPr>
      <w:tc>
        <w:tcPr>
          <w:tcW w:w="5920" w:type="dxa"/>
          <w:vMerge/>
          <w:shd w:val="clear" w:color="auto" w:fill="auto"/>
        </w:tcPr>
        <w:p w14:paraId="1DE0A093" w14:textId="77777777" w:rsidR="00E36F74" w:rsidRPr="00374227" w:rsidRDefault="00E36F74" w:rsidP="00A17E5F">
          <w:pPr>
            <w:pStyle w:val="Header"/>
          </w:pPr>
        </w:p>
      </w:tc>
      <w:sdt>
        <w:sdtPr>
          <w:rPr>
            <w:rFonts w:ascii="Arial" w:hAnsi="Arial" w:cs="Arial"/>
            <w:szCs w:val="22"/>
          </w:rPr>
          <w:id w:val="-1939746546"/>
          <w:lock w:val="sdtLocked"/>
          <w:placeholder>
            <w:docPart w:val="1305D9F85DAB4D28B020068D7A5E0957"/>
          </w:placeholder>
          <w:date w:fullDate="2016-06-06T00:00:00Z">
            <w:dateFormat w:val="dd MMMM yyyy"/>
            <w:lid w:val="en-GB"/>
            <w:storeMappedDataAs w:val="dateTime"/>
            <w:calendar w:val="gregorian"/>
          </w:date>
        </w:sdtPr>
        <w:sdtEndPr/>
        <w:sdtContent>
          <w:tc>
            <w:tcPr>
              <w:tcW w:w="3260" w:type="dxa"/>
              <w:shd w:val="clear" w:color="auto" w:fill="auto"/>
              <w:vAlign w:val="center"/>
            </w:tcPr>
            <w:p w14:paraId="1DE0A094" w14:textId="77777777" w:rsidR="00E36F74" w:rsidRPr="00374227" w:rsidRDefault="00254E9B" w:rsidP="004B0FD9">
              <w:pPr>
                <w:pStyle w:val="Header"/>
                <w:spacing w:before="60"/>
                <w:rPr>
                  <w:rFonts w:ascii="Arial" w:hAnsi="Arial" w:cs="Arial"/>
                  <w:szCs w:val="22"/>
                </w:rPr>
              </w:pPr>
              <w:r>
                <w:rPr>
                  <w:rFonts w:ascii="Arial" w:hAnsi="Arial" w:cs="Arial"/>
                  <w:szCs w:val="22"/>
                </w:rPr>
                <w:t>06 June 2016</w:t>
              </w:r>
            </w:p>
          </w:tc>
        </w:sdtContent>
      </w:sdt>
    </w:tr>
    <w:tr w:rsidR="00E36F74" w:rsidRPr="004F266E" w14:paraId="1DE0A098" w14:textId="77777777" w:rsidTr="00A17E5F">
      <w:trPr>
        <w:trHeight w:val="708"/>
      </w:trPr>
      <w:tc>
        <w:tcPr>
          <w:tcW w:w="5920" w:type="dxa"/>
          <w:vMerge/>
          <w:shd w:val="clear" w:color="auto" w:fill="auto"/>
        </w:tcPr>
        <w:p w14:paraId="1DE0A096" w14:textId="77777777" w:rsidR="00E36F74" w:rsidRPr="00374227" w:rsidRDefault="00E36F74" w:rsidP="00A17E5F">
          <w:pPr>
            <w:pStyle w:val="Header"/>
          </w:pPr>
        </w:p>
      </w:tc>
      <w:tc>
        <w:tcPr>
          <w:tcW w:w="3260" w:type="dxa"/>
          <w:shd w:val="clear" w:color="auto" w:fill="auto"/>
          <w:vAlign w:val="center"/>
        </w:tcPr>
        <w:p w14:paraId="1DE0A097" w14:textId="77777777" w:rsidR="00E36F74" w:rsidRPr="00374227" w:rsidRDefault="00E36F74" w:rsidP="004B0FD9">
          <w:pPr>
            <w:pStyle w:val="Header"/>
            <w:spacing w:before="60"/>
            <w:rPr>
              <w:rFonts w:ascii="Arial" w:hAnsi="Arial" w:cs="Arial"/>
              <w:b/>
              <w:szCs w:val="22"/>
            </w:rPr>
          </w:pPr>
        </w:p>
      </w:tc>
    </w:tr>
  </w:tbl>
  <w:p w14:paraId="1DE0A099" w14:textId="77777777" w:rsidR="00E36F74" w:rsidRPr="0021114E" w:rsidRDefault="00E36F7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0A09B" w14:textId="77777777" w:rsidR="00E36F74" w:rsidRDefault="00E36F74" w:rsidP="00E64FBC">
    <w:pPr>
      <w:pStyle w:val="Header"/>
      <w:rPr>
        <w:sz w:val="2"/>
      </w:rPr>
    </w:pPr>
  </w:p>
  <w:p w14:paraId="1DE0A09C" w14:textId="77777777" w:rsidR="00E36F74" w:rsidRDefault="00E36F7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36F74" w:rsidRPr="001D2C76" w14:paraId="1DE0A09F" w14:textId="77777777" w:rsidTr="00084E44">
      <w:tc>
        <w:tcPr>
          <w:tcW w:w="6062" w:type="dxa"/>
          <w:vMerge w:val="restart"/>
        </w:tcPr>
        <w:p w14:paraId="1DE0A09D" w14:textId="77777777" w:rsidR="00E36F74" w:rsidRDefault="00E36F74" w:rsidP="007C2BC2">
          <w:pPr>
            <w:pStyle w:val="Header"/>
            <w:tabs>
              <w:tab w:val="clear" w:pos="4153"/>
              <w:tab w:val="clear" w:pos="8306"/>
              <w:tab w:val="center" w:pos="2923"/>
            </w:tabs>
          </w:pPr>
          <w:r>
            <w:rPr>
              <w:rFonts w:ascii="Arial" w:hAnsi="Arial" w:cs="Arial"/>
              <w:noProof/>
              <w:sz w:val="44"/>
              <w:szCs w:val="44"/>
            </w:rPr>
            <w:drawing>
              <wp:inline distT="0" distB="0" distL="0" distR="0" wp14:anchorId="1DE0A0A9" wp14:editId="1DE0A0A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3ADDD213D1854E24A51316DD20FBA2A4"/>
            </w:placeholder>
            <w:dropDownList>
              <w:listItem w:displayText="Children and Young People Board" w:value="Children and Young People Board"/>
            </w:dropDownList>
          </w:sdtPr>
          <w:sdtEndPr/>
          <w:sdtContent>
            <w:p w14:paraId="1DE0A09E" w14:textId="77777777" w:rsidR="00E36F74" w:rsidRPr="001D2C76" w:rsidRDefault="00E36F74" w:rsidP="00546D0D">
              <w:pPr>
                <w:pStyle w:val="Header"/>
                <w:rPr>
                  <w:b/>
                </w:rPr>
              </w:pPr>
              <w:r>
                <w:rPr>
                  <w:rFonts w:ascii="Arial" w:hAnsi="Arial" w:cs="Arial"/>
                  <w:b/>
                  <w:sz w:val="24"/>
                  <w:szCs w:val="24"/>
                </w:rPr>
                <w:t>Children and Young People Board</w:t>
              </w:r>
            </w:p>
          </w:sdtContent>
        </w:sdt>
      </w:tc>
    </w:tr>
    <w:tr w:rsidR="00E36F74" w14:paraId="1DE0A0A2" w14:textId="77777777" w:rsidTr="00084E44">
      <w:trPr>
        <w:trHeight w:val="450"/>
      </w:trPr>
      <w:tc>
        <w:tcPr>
          <w:tcW w:w="6062" w:type="dxa"/>
          <w:vMerge/>
        </w:tcPr>
        <w:p w14:paraId="1DE0A0A0" w14:textId="77777777" w:rsidR="00E36F74" w:rsidRDefault="00E36F74" w:rsidP="00546D0D">
          <w:pPr>
            <w:pStyle w:val="Header"/>
          </w:pPr>
        </w:p>
      </w:tc>
      <w:tc>
        <w:tcPr>
          <w:tcW w:w="3225" w:type="dxa"/>
        </w:tcPr>
        <w:sdt>
          <w:sdtPr>
            <w:rPr>
              <w:rFonts w:ascii="Arial" w:hAnsi="Arial" w:cs="Arial"/>
              <w:sz w:val="24"/>
              <w:szCs w:val="24"/>
            </w:rPr>
            <w:id w:val="-670098863"/>
            <w:placeholder>
              <w:docPart w:val="9844B36FD88F44EBB29A00971B8DC04A"/>
            </w:placeholder>
            <w:date>
              <w:dateFormat w:val="dd MMMM yyyy"/>
              <w:lid w:val="en-GB"/>
              <w:storeMappedDataAs w:val="dateTime"/>
              <w:calendar w:val="gregorian"/>
            </w:date>
          </w:sdtPr>
          <w:sdtEndPr/>
          <w:sdtContent>
            <w:p w14:paraId="1DE0A0A1" w14:textId="77777777" w:rsidR="00E36F74" w:rsidRDefault="00E36F74" w:rsidP="00546D0D">
              <w:pPr>
                <w:pStyle w:val="Header"/>
                <w:spacing w:before="60"/>
              </w:pPr>
              <w:r>
                <w:rPr>
                  <w:rFonts w:ascii="Arial" w:hAnsi="Arial" w:cs="Arial"/>
                  <w:sz w:val="24"/>
                  <w:szCs w:val="24"/>
                </w:rPr>
                <w:t xml:space="preserve">Meeting date </w:t>
              </w:r>
            </w:p>
          </w:sdtContent>
        </w:sdt>
      </w:tc>
    </w:tr>
    <w:tr w:rsidR="00E36F74" w14:paraId="1DE0A0A5" w14:textId="77777777" w:rsidTr="00084E44">
      <w:trPr>
        <w:trHeight w:val="450"/>
      </w:trPr>
      <w:tc>
        <w:tcPr>
          <w:tcW w:w="6062" w:type="dxa"/>
          <w:vMerge/>
        </w:tcPr>
        <w:p w14:paraId="1DE0A0A3" w14:textId="77777777" w:rsidR="00E36F74" w:rsidRDefault="00E36F74" w:rsidP="00546D0D">
          <w:pPr>
            <w:pStyle w:val="Header"/>
          </w:pPr>
        </w:p>
      </w:tc>
      <w:tc>
        <w:tcPr>
          <w:tcW w:w="3225" w:type="dxa"/>
        </w:tcPr>
        <w:p w14:paraId="1DE0A0A4" w14:textId="77777777" w:rsidR="00E36F74" w:rsidRPr="00546D0D" w:rsidRDefault="00E36F74" w:rsidP="00546D0D">
          <w:pPr>
            <w:pStyle w:val="Header"/>
            <w:spacing w:before="60"/>
            <w:rPr>
              <w:rFonts w:ascii="Arial" w:hAnsi="Arial" w:cs="Arial"/>
              <w:b/>
              <w:sz w:val="24"/>
              <w:szCs w:val="24"/>
            </w:rPr>
          </w:pPr>
        </w:p>
      </w:tc>
    </w:tr>
  </w:tbl>
  <w:p w14:paraId="1DE0A0A6" w14:textId="77777777" w:rsidR="00E36F74" w:rsidRDefault="00E36F74"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E7E"/>
    <w:rsid w:val="00000460"/>
    <w:rsid w:val="000109D3"/>
    <w:rsid w:val="00010A80"/>
    <w:rsid w:val="00011E01"/>
    <w:rsid w:val="000367FF"/>
    <w:rsid w:val="0005285D"/>
    <w:rsid w:val="00061956"/>
    <w:rsid w:val="000730B6"/>
    <w:rsid w:val="00081B2C"/>
    <w:rsid w:val="00084E44"/>
    <w:rsid w:val="000A0C49"/>
    <w:rsid w:val="000A3935"/>
    <w:rsid w:val="000A7FC2"/>
    <w:rsid w:val="000B09F5"/>
    <w:rsid w:val="000C3360"/>
    <w:rsid w:val="000D2BDB"/>
    <w:rsid w:val="000D702D"/>
    <w:rsid w:val="000E5E39"/>
    <w:rsid w:val="00100FC2"/>
    <w:rsid w:val="0010253D"/>
    <w:rsid w:val="001172B6"/>
    <w:rsid w:val="00173D5A"/>
    <w:rsid w:val="001A07F1"/>
    <w:rsid w:val="001A7A02"/>
    <w:rsid w:val="001D2441"/>
    <w:rsid w:val="001D2C76"/>
    <w:rsid w:val="001D6703"/>
    <w:rsid w:val="001E4CE7"/>
    <w:rsid w:val="001E77F1"/>
    <w:rsid w:val="001F795D"/>
    <w:rsid w:val="0021114E"/>
    <w:rsid w:val="00223F45"/>
    <w:rsid w:val="002414C2"/>
    <w:rsid w:val="00254DF4"/>
    <w:rsid w:val="00254E9B"/>
    <w:rsid w:val="002630FF"/>
    <w:rsid w:val="00277878"/>
    <w:rsid w:val="002A0C7D"/>
    <w:rsid w:val="002A0D9E"/>
    <w:rsid w:val="002D0658"/>
    <w:rsid w:val="002F15DD"/>
    <w:rsid w:val="00302667"/>
    <w:rsid w:val="00324E86"/>
    <w:rsid w:val="00353D30"/>
    <w:rsid w:val="00363ED4"/>
    <w:rsid w:val="00372DE6"/>
    <w:rsid w:val="00374E7E"/>
    <w:rsid w:val="003978FB"/>
    <w:rsid w:val="003C77A8"/>
    <w:rsid w:val="003E20D5"/>
    <w:rsid w:val="003E4825"/>
    <w:rsid w:val="003E4B3E"/>
    <w:rsid w:val="0041006B"/>
    <w:rsid w:val="0042168F"/>
    <w:rsid w:val="00435D57"/>
    <w:rsid w:val="004401AF"/>
    <w:rsid w:val="00444C86"/>
    <w:rsid w:val="00481354"/>
    <w:rsid w:val="004A6512"/>
    <w:rsid w:val="004B0FD9"/>
    <w:rsid w:val="004D36F3"/>
    <w:rsid w:val="004F12FE"/>
    <w:rsid w:val="005240CB"/>
    <w:rsid w:val="00546D0D"/>
    <w:rsid w:val="00575EED"/>
    <w:rsid w:val="005A4917"/>
    <w:rsid w:val="005B3508"/>
    <w:rsid w:val="005B6237"/>
    <w:rsid w:val="005C2D09"/>
    <w:rsid w:val="005E328A"/>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663"/>
    <w:rsid w:val="00706D3A"/>
    <w:rsid w:val="007670B0"/>
    <w:rsid w:val="00782172"/>
    <w:rsid w:val="007A063E"/>
    <w:rsid w:val="007A20CE"/>
    <w:rsid w:val="007B7A0E"/>
    <w:rsid w:val="007C1849"/>
    <w:rsid w:val="007C2BC2"/>
    <w:rsid w:val="007D083B"/>
    <w:rsid w:val="007E2685"/>
    <w:rsid w:val="007E706B"/>
    <w:rsid w:val="007F248F"/>
    <w:rsid w:val="007F24E8"/>
    <w:rsid w:val="00841710"/>
    <w:rsid w:val="00860C8D"/>
    <w:rsid w:val="0087174A"/>
    <w:rsid w:val="0087546A"/>
    <w:rsid w:val="0087571E"/>
    <w:rsid w:val="008772F4"/>
    <w:rsid w:val="00893E53"/>
    <w:rsid w:val="008C3AFD"/>
    <w:rsid w:val="008D1A9E"/>
    <w:rsid w:val="008D1B23"/>
    <w:rsid w:val="008D332D"/>
    <w:rsid w:val="008E5AE8"/>
    <w:rsid w:val="008F3A81"/>
    <w:rsid w:val="00914A91"/>
    <w:rsid w:val="0092710B"/>
    <w:rsid w:val="00931FA5"/>
    <w:rsid w:val="0094468C"/>
    <w:rsid w:val="00953729"/>
    <w:rsid w:val="00967F3E"/>
    <w:rsid w:val="00982B41"/>
    <w:rsid w:val="009A3C71"/>
    <w:rsid w:val="009B0968"/>
    <w:rsid w:val="009B32C4"/>
    <w:rsid w:val="009C64BE"/>
    <w:rsid w:val="009C7622"/>
    <w:rsid w:val="009C799F"/>
    <w:rsid w:val="009D5D4A"/>
    <w:rsid w:val="009D6157"/>
    <w:rsid w:val="009E17B8"/>
    <w:rsid w:val="009E64CF"/>
    <w:rsid w:val="00A05560"/>
    <w:rsid w:val="00A05A24"/>
    <w:rsid w:val="00A17E5F"/>
    <w:rsid w:val="00A41125"/>
    <w:rsid w:val="00A601EC"/>
    <w:rsid w:val="00A67E0E"/>
    <w:rsid w:val="00A71CD2"/>
    <w:rsid w:val="00A7644D"/>
    <w:rsid w:val="00A847F9"/>
    <w:rsid w:val="00A9189F"/>
    <w:rsid w:val="00A92B3B"/>
    <w:rsid w:val="00AA5C07"/>
    <w:rsid w:val="00AA6F4D"/>
    <w:rsid w:val="00B014A6"/>
    <w:rsid w:val="00B0159A"/>
    <w:rsid w:val="00B125C2"/>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747C5"/>
    <w:rsid w:val="00C82C83"/>
    <w:rsid w:val="00C9258A"/>
    <w:rsid w:val="00CA1498"/>
    <w:rsid w:val="00CC0245"/>
    <w:rsid w:val="00CC1283"/>
    <w:rsid w:val="00CE2310"/>
    <w:rsid w:val="00D1779A"/>
    <w:rsid w:val="00D620BE"/>
    <w:rsid w:val="00D66905"/>
    <w:rsid w:val="00D77253"/>
    <w:rsid w:val="00D84788"/>
    <w:rsid w:val="00D903DC"/>
    <w:rsid w:val="00DA0183"/>
    <w:rsid w:val="00DD7640"/>
    <w:rsid w:val="00DF11AC"/>
    <w:rsid w:val="00E11424"/>
    <w:rsid w:val="00E27467"/>
    <w:rsid w:val="00E27D9C"/>
    <w:rsid w:val="00E36F74"/>
    <w:rsid w:val="00E4011A"/>
    <w:rsid w:val="00E52D8B"/>
    <w:rsid w:val="00E64FBC"/>
    <w:rsid w:val="00E650C7"/>
    <w:rsid w:val="00E7710E"/>
    <w:rsid w:val="00E83EB8"/>
    <w:rsid w:val="00E84B8B"/>
    <w:rsid w:val="00EB1237"/>
    <w:rsid w:val="00F23B3B"/>
    <w:rsid w:val="00F5284A"/>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E0A041"/>
  <w15:docId w15:val="{6C6B5CCB-C078-48C9-9079-69CD42609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lie.greenwood@local.gov.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DF78860E7444880B459DD047E3ADC82"/>
        <w:category>
          <w:name w:val="General"/>
          <w:gallery w:val="placeholder"/>
        </w:category>
        <w:types>
          <w:type w:val="bbPlcHdr"/>
        </w:types>
        <w:behaviors>
          <w:behavior w:val="content"/>
        </w:behaviors>
        <w:guid w:val="{00283B01-394C-4155-B6AD-ED3ACF065669}"/>
      </w:docPartPr>
      <w:docPartBody>
        <w:p w:rsidR="00090BC6" w:rsidRDefault="00B117C6">
          <w:pPr>
            <w:pStyle w:val="5DF78860E7444880B459DD047E3ADC82"/>
          </w:pPr>
          <w:r w:rsidRPr="006B4E09">
            <w:rPr>
              <w:rStyle w:val="PlaceholderText"/>
            </w:rPr>
            <w:t>Click here to enter text.</w:t>
          </w:r>
        </w:p>
      </w:docPartBody>
    </w:docPart>
    <w:docPart>
      <w:docPartPr>
        <w:name w:val="9844B36FD88F44EBB29A00971B8DC04A"/>
        <w:category>
          <w:name w:val="General"/>
          <w:gallery w:val="placeholder"/>
        </w:category>
        <w:types>
          <w:type w:val="bbPlcHdr"/>
        </w:types>
        <w:behaviors>
          <w:behavior w:val="content"/>
        </w:behaviors>
        <w:guid w:val="{E6FCDAE0-EB19-4A5A-8984-9B96604CFFB5}"/>
      </w:docPartPr>
      <w:docPartBody>
        <w:p w:rsidR="00090BC6" w:rsidRDefault="00B117C6">
          <w:pPr>
            <w:pStyle w:val="9844B36FD88F44EBB29A00971B8DC04A"/>
          </w:pPr>
          <w:r w:rsidRPr="006B4E09">
            <w:rPr>
              <w:rStyle w:val="PlaceholderText"/>
            </w:rPr>
            <w:t>Choose an item.</w:t>
          </w:r>
        </w:p>
      </w:docPartBody>
    </w:docPart>
    <w:docPart>
      <w:docPartPr>
        <w:name w:val="1305D9F85DAB4D28B020068D7A5E0957"/>
        <w:category>
          <w:name w:val="General"/>
          <w:gallery w:val="placeholder"/>
        </w:category>
        <w:types>
          <w:type w:val="bbPlcHdr"/>
        </w:types>
        <w:behaviors>
          <w:behavior w:val="content"/>
        </w:behaviors>
        <w:guid w:val="{E288FC0E-E64E-4A64-A797-74C29FA06A20}"/>
      </w:docPartPr>
      <w:docPartBody>
        <w:p w:rsidR="00090BC6" w:rsidRDefault="00B117C6">
          <w:pPr>
            <w:pStyle w:val="1305D9F85DAB4D28B020068D7A5E0957"/>
          </w:pPr>
          <w:r w:rsidRPr="006B4E09">
            <w:rPr>
              <w:rStyle w:val="PlaceholderText"/>
            </w:rPr>
            <w:t>Click here to enter text.</w:t>
          </w:r>
        </w:p>
      </w:docPartBody>
    </w:docPart>
    <w:docPart>
      <w:docPartPr>
        <w:name w:val="3ADDD213D1854E24A51316DD20FBA2A4"/>
        <w:category>
          <w:name w:val="General"/>
          <w:gallery w:val="placeholder"/>
        </w:category>
        <w:types>
          <w:type w:val="bbPlcHdr"/>
        </w:types>
        <w:behaviors>
          <w:behavior w:val="content"/>
        </w:behaviors>
        <w:guid w:val="{BB410112-0DDA-43FE-97AE-7B2B9E83F06D}"/>
      </w:docPartPr>
      <w:docPartBody>
        <w:p w:rsidR="00090BC6" w:rsidRDefault="00B117C6">
          <w:pPr>
            <w:pStyle w:val="3ADDD213D1854E24A51316DD20FBA2A4"/>
          </w:pPr>
          <w:r w:rsidRPr="006B4E09">
            <w:rPr>
              <w:rStyle w:val="PlaceholderText"/>
            </w:rPr>
            <w:t>Click here to enter text.</w:t>
          </w:r>
        </w:p>
      </w:docPartBody>
    </w:docPart>
    <w:docPart>
      <w:docPartPr>
        <w:name w:val="C72CD6610FD84CF4A3F8713694F483D1"/>
        <w:category>
          <w:name w:val="General"/>
          <w:gallery w:val="placeholder"/>
        </w:category>
        <w:types>
          <w:type w:val="bbPlcHdr"/>
        </w:types>
        <w:behaviors>
          <w:behavior w:val="content"/>
        </w:behaviors>
        <w:guid w:val="{67E9AA7A-56F1-4471-8A91-6F355BAFEF75}"/>
      </w:docPartPr>
      <w:docPartBody>
        <w:p w:rsidR="00090BC6" w:rsidRDefault="00B117C6" w:rsidP="00B117C6">
          <w:pPr>
            <w:pStyle w:val="C72CD6610FD84CF4A3F8713694F483D1"/>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C6"/>
    <w:rsid w:val="00090BC6"/>
    <w:rsid w:val="00B117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17C6"/>
    <w:rPr>
      <w:color w:val="808080"/>
    </w:rPr>
  </w:style>
  <w:style w:type="paragraph" w:customStyle="1" w:styleId="5DF78860E7444880B459DD047E3ADC82">
    <w:name w:val="5DF78860E7444880B459DD047E3ADC82"/>
  </w:style>
  <w:style w:type="paragraph" w:customStyle="1" w:styleId="9844B36FD88F44EBB29A00971B8DC04A">
    <w:name w:val="9844B36FD88F44EBB29A00971B8DC04A"/>
  </w:style>
  <w:style w:type="paragraph" w:customStyle="1" w:styleId="1305D9F85DAB4D28B020068D7A5E0957">
    <w:name w:val="1305D9F85DAB4D28B020068D7A5E0957"/>
  </w:style>
  <w:style w:type="paragraph" w:customStyle="1" w:styleId="3ADDD213D1854E24A51316DD20FBA2A4">
    <w:name w:val="3ADDD213D1854E24A51316DD20FBA2A4"/>
  </w:style>
  <w:style w:type="paragraph" w:customStyle="1" w:styleId="4E236B0A5DF74C5F850A4386C804A155">
    <w:name w:val="4E236B0A5DF74C5F850A4386C804A155"/>
  </w:style>
  <w:style w:type="paragraph" w:customStyle="1" w:styleId="C72CD6610FD84CF4A3F8713694F483D1">
    <w:name w:val="C72CD6610FD84CF4A3F8713694F483D1"/>
    <w:rsid w:val="00B117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SSCB papers</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EDC82-D4E9-48F4-AF92-8C275EAB627B}">
  <ds:schemaRefs>
    <ds:schemaRef ds:uri="http://schemas.microsoft.com/sharepoint/v3/contenttype/forms"/>
  </ds:schemaRefs>
</ds:datastoreItem>
</file>

<file path=customXml/itemProps2.xml><?xml version="1.0" encoding="utf-8"?>
<ds:datastoreItem xmlns:ds="http://schemas.openxmlformats.org/officeDocument/2006/customXml" ds:itemID="{D0312FF3-6BA8-449E-9A2B-595CF087E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75233-1FA1-40F7-BCB4-A9685973B237}">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1c8a0e75-f4bc-4eb4-8ed0-578eaea9e1ca"/>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E9A9C8B1-36AE-4704-A5D9-3CC586D4F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1E634B6B</Template>
  <TotalTime>10</TotalTime>
  <Pages>4</Pages>
  <Words>966</Words>
  <Characters>5303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6257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Mark Norris,  LGA Policy</dc:creator>
  <cp:lastModifiedBy>Ciaran Whitehead</cp:lastModifiedBy>
  <cp:revision>4</cp:revision>
  <cp:lastPrinted>2010-08-12T11:06:00Z</cp:lastPrinted>
  <dcterms:created xsi:type="dcterms:W3CDTF">2016-05-24T14:51:00Z</dcterms:created>
  <dcterms:modified xsi:type="dcterms:W3CDTF">2016-05-27T13:36:00Z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y fmtid="{D5CDD505-2E9C-101B-9397-08002B2CF9AE}" pid="17" name="WorkflowChangePath">
    <vt:lpwstr>0b6503a9-28cf-4649-bf13-cf07c85905e0,2;</vt:lpwstr>
  </property>
</Properties>
</file>